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1A24B" w14:textId="77777777" w:rsidR="00852F57" w:rsidRPr="00E106B5" w:rsidRDefault="00852F57" w:rsidP="00852F57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18"/>
        <w:gridCol w:w="1139"/>
        <w:gridCol w:w="1988"/>
        <w:gridCol w:w="1227"/>
      </w:tblGrid>
      <w:tr w:rsidR="00852F57" w:rsidRPr="00E106B5" w14:paraId="0802198A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2ABE878" w14:textId="266289AD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E106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30FE4" w:rsidRPr="00930FE4">
              <w:rPr>
                <w:rFonts w:ascii="Times New Roman" w:hAnsi="Times New Roman"/>
                <w:bCs/>
                <w:sz w:val="20"/>
                <w:szCs w:val="20"/>
              </w:rPr>
              <w:t>Избори и изборне кампање</w:t>
            </w:r>
          </w:p>
        </w:tc>
      </w:tr>
      <w:tr w:rsidR="00852F57" w:rsidRPr="00E106B5" w14:paraId="69BC19B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9A83B8" w14:textId="203C79BB" w:rsidR="00852F57" w:rsidRPr="005A559D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FE4" w:rsidRPr="00930FE4">
              <w:rPr>
                <w:rFonts w:ascii="Times New Roman" w:hAnsi="Times New Roman"/>
                <w:sz w:val="20"/>
                <w:szCs w:val="20"/>
              </w:rPr>
              <w:t>Медији и избори –регулаторни аспекти</w:t>
            </w:r>
          </w:p>
        </w:tc>
      </w:tr>
      <w:tr w:rsidR="00852F57" w:rsidRPr="00E106B5" w14:paraId="789A4021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333C39" w14:textId="53459A62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30FE4" w:rsidRPr="00157B56">
              <w:rPr>
                <w:rFonts w:ascii="Times New Roman" w:hAnsi="Times New Roman"/>
                <w:sz w:val="20"/>
                <w:szCs w:val="20"/>
              </w:rPr>
              <w:t>д</w:t>
            </w:r>
            <w:r w:rsidR="00930FE4"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оц. др Сурчулија Милојевић</w:t>
            </w:r>
            <w:r w:rsid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30FE4"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Јелена</w:t>
            </w:r>
          </w:p>
        </w:tc>
      </w:tr>
      <w:tr w:rsidR="00852F57" w:rsidRPr="00E106B5" w14:paraId="6A68EFFF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09B21B5" w14:textId="36C9E156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900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852F57" w:rsidRPr="00E106B5" w14:paraId="6B7FFBD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6CC024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852F57" w:rsidRPr="00E106B5" w14:paraId="52F2C05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7ED3ABA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852F57" w:rsidRPr="00E106B5" w14:paraId="4F41DEA4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E98A7F" w14:textId="5B4CDFCE" w:rsidR="009F1975" w:rsidRPr="009F1975" w:rsidRDefault="009F1975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197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448F7F" w14:textId="50C7310E" w:rsidR="00852F57" w:rsidRPr="00E106B5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Разумевање појма слободе изражавања, као основног људског права. Затим, посматрање улоге медија у предизборној кампањи. Савладавање правила која се примењују на медије у предизборној кампањи, а пре свега анализа докумената међународних регионалних организација, али и невладиних организација и регулаторних тела. Разматрање различитих правила која се примењују на традиционалне и медије на Интернету. Анализирање пресуда Европског суда за људска права који се тичу политичког изражавања и избора. Упоредноправна анализа сличности и разлика у регулисању кампања у медијима у различитим земљама, пре свега у Великој Британији, Немачкој, Италији, Шпанији, Француској, Русији, Пољској. Разумевање специфичности права на одговор и права на исправку у предизборним кампањама. Медијско и сродна права у Републици Србији и начин регулисања предизборне кампање, укључујући и улогу Регулаторне агенције за електронске медије</w:t>
            </w:r>
            <w:r w:rsidRPr="00930FE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930FE4">
              <w:rPr>
                <w:rFonts w:ascii="Times New Roman" w:hAnsi="Times New Roman"/>
                <w:bCs/>
                <w:sz w:val="20"/>
                <w:szCs w:val="20"/>
              </w:rPr>
              <w:t>и јавних медијских сервиса</w:t>
            </w:r>
            <w:r w:rsidRPr="00930FE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Разумевање неспојивости новинарске професије са учествовањем у изборној или политичкој кампањи, на основу Кодекса новинара Србије, уз анализу улоге Савета за штампу.</w:t>
            </w:r>
          </w:p>
        </w:tc>
      </w:tr>
      <w:tr w:rsidR="00852F57" w:rsidRPr="00E106B5" w14:paraId="35104B67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D071BD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C5C1EA4" w14:textId="10B7245E" w:rsidR="00852F57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да у потпуности разумеју улогу медија у изборној кампањи, са јасном свешћу о правима и обавезама свих учесника у изборном процесу. Разумевање правила којих морају да се придржавају електронски медији, штампани медији и онлајн медији, као и начин на који регулаторна тела врше мониторинг и примењују посебна правила током трајања кампање. Изградња критичког односа према (не)примењивању санкција над учесницима који се не придржавају постављених правила. Информисање студената о посебним правилима која се тичу права на одговор и права на исправку. Оспособљавање студената да самостално користе стечено знање у креирању или учествовању у будућим изборним кампањама, као и да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30FE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унапред предвиде правне последице глобалног домашаја информација посредством Интернета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52F57" w:rsidRPr="00E106B5" w14:paraId="36F7C36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D296F6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A398489" w14:textId="77777777" w:rsidR="005A559D" w:rsidRDefault="005A559D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55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5A55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</w:p>
          <w:p w14:paraId="2757D00A" w14:textId="1DF9CF72" w:rsidR="005A559D" w:rsidRDefault="00930FE4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Дефинисање појма слободе изражавања. Слобода изражавања у традиционалним медијима и на Интернету. Правни оквир за медије у предизборној кампањи у међународним организацијама: Савет Европе, Европска унија, ОЕБС, Уједињене нације. Пракса Европског суда за људска права (ЕСЉП) у вези политичког говора у предизборним кампањама. Правни оквир за медије у предизборној кампањи у европским државама: Велика Британија, Немачка, Италија, Шпанија, Француска, Русија, Пољска. Правни оквир за медије у предизборној кампањи у Републици Србији. Специфичности права на одговор и права на исправку у току изборне кампање. Специфичне обавезе јавних медијских сервиса у предизборној кампањи. Улога Регулаторног тела за електронске медије у предизборној кампањи. Улога Савета за штампу као саморегулаторног тела у кампањи. Предизборна кампања на друштвеним мрежама и на Интернету. </w:t>
            </w:r>
            <w:r w:rsidR="005A559D" w:rsidRPr="005A55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471CCD2B" w14:textId="204F8358" w:rsidR="00852F57" w:rsidRPr="00E106B5" w:rsidRDefault="005A559D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559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852F57" w:rsidRPr="00E106B5" w14:paraId="5808402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FB58C54" w14:textId="68A966DE" w:rsid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</w:p>
          <w:p w14:paraId="3931D90A" w14:textId="6E925AE2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а) Основна литература: </w:t>
            </w:r>
          </w:p>
          <w:p w14:paraId="4860149D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Capello M. (ed.), Media coverage of elections: the legal framework in Europe, IRIS Special, European Audiovisual Observatory, Strasbourg, 2017; </w:t>
            </w:r>
          </w:p>
          <w:p w14:paraId="29039A3C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Јелена Сурчулија Милојевић. 2020. „Правни аспекти улоге медија у изборном процесу Републике Србије у периоду од 1990. до 2019. године“. у Како, кога и зашто смо бирали – Избори у Србији 1990-2020. године, ур. Милан Јовановић и Душан Вучићевић. Стр. 15-52. Београд: Службени гласник; Институт за политичке студије. ISBN 978-86-7419-332-7</w:t>
            </w:r>
          </w:p>
          <w:p w14:paraId="0A40C96A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Ј. Сурчулија Милојевић. „(Не)усклађеност изборног и медијског законодавства са међународним стандардима у вези понашања медија у (пред)изборној кампањи“. у Јовановић, Милан (ур.), Миленковић, Дејан (ур.). Дијалог о изборима: Зборник радова. Београд: Факултет политичких наука Универзитета у Београду; Чигоја штампа, 2021. стр. 285-302. ISBN 978-86-531-0643-0</w:t>
            </w:r>
          </w:p>
          <w:p w14:paraId="727BA446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Атлагић, Синиша, Сурчулија Милојевић, Јелена. Институционални услови конкуренције политичких идеја у Србији : Случај регулаторног тела за електронске медије. Српска политичка мисао. [Штампано изд.]. 2018, vоl. 61, бр. 3, стр. 123-140. ISSN 0354-5989</w:t>
            </w:r>
          </w:p>
          <w:p w14:paraId="0C59F730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J. Матић, Медији и избори, Центар за слободне изборе и демократију, Београд, 2007;</w:t>
            </w:r>
          </w:p>
          <w:p w14:paraId="726C9353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Ј. Матић, Телевизија против бирача, ИП „Добар наслов“, Београд, 2007; </w:t>
            </w:r>
          </w:p>
          <w:p w14:paraId="4A5CBB68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Ј. Ланге, Медији и избори: приручник, Савет Европе, Спринт, 2002; </w:t>
            </w:r>
          </w:p>
          <w:p w14:paraId="628E601E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З.Ђ.Славујевић, Походи на бираче у име државе и народа: изборне кампање у Србији од 1990-2016, Факултет политичких наука/Чигоја штампа, Београд, 2017;     </w:t>
            </w:r>
          </w:p>
          <w:p w14:paraId="0B0A48DA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С. Миливојевић, Ј. Матић, Телевизијска презентација избора у Србији. Гледишта број 1–6, 1992. стр. 245–254.</w:t>
            </w:r>
          </w:p>
          <w:p w14:paraId="24998087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Јелена Сурчулија (ур.), Слобода изражавања на Интернету, Центар за развој Интернета, Београд, 2010; </w:t>
            </w:r>
          </w:p>
          <w:p w14:paraId="2FE490C3" w14:textId="1CEE088C" w:rsid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J. Surculija Milojevic, The Right of Reply: A Tool For an Individual to Access the Media, Yearbook of the Faculty of Political Sciences, Belgrade, 2015. </w:t>
            </w:r>
          </w:p>
          <w:p w14:paraId="7F0C7272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б) Допунска литература: </w:t>
            </w:r>
          </w:p>
          <w:p w14:paraId="1B8F7042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Д. Пралица, Анализа медијског дискурса предизборне хронике у централним информативним емисијама на првим програмима радија и телевизије Војводина, Годишњак Филозофског факултета у Новом Саду, Књига XLI-1 (2016); </w:t>
            </w:r>
          </w:p>
          <w:p w14:paraId="68D25CBB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Ј. Матић, Сервис грађана или сервис власти: плурализам мишљења информативног програма јавног телевизијског сервиса у Србији, ИП „Добар наслов“, Београд, 2014; </w:t>
            </w:r>
          </w:p>
          <w:p w14:paraId="693C5A15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Ј. Ланге, А. Палмер (Ур.), Медији и избори, Европски институт за медије, Дизелдорф, 1998 </w:t>
            </w:r>
          </w:p>
          <w:p w14:paraId="4B58C3E6" w14:textId="77777777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Зборник правник инструмената Савета Европе у вези са медијима (друго допуњено издање), Савет Европе, Београд, 2006; </w:t>
            </w:r>
          </w:p>
          <w:p w14:paraId="72CAB08F" w14:textId="27603A74" w:rsidR="00930FE4" w:rsidRP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Зборник одабраних правних инструмената Савета Европе у вези са медијима, 2007-2014, Савет Европе, Београд, 2015.</w:t>
            </w:r>
          </w:p>
          <w:p w14:paraId="37D0959C" w14:textId="089437EB" w:rsidR="00852F57" w:rsidRPr="00E106B5" w:rsidRDefault="00852F57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52F57" w:rsidRPr="00E106B5" w14:paraId="6285A7F6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4F92517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E106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7" w:type="dxa"/>
            <w:gridSpan w:val="2"/>
            <w:vAlign w:val="center"/>
          </w:tcPr>
          <w:p w14:paraId="3B4C23A3" w14:textId="389689DB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9F19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935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5D1" w:rsidRPr="001935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5" w:type="dxa"/>
            <w:gridSpan w:val="2"/>
            <w:vAlign w:val="center"/>
          </w:tcPr>
          <w:p w14:paraId="73000325" w14:textId="4B467065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9F19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935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5D1" w:rsidRPr="001935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15+15</w:t>
            </w:r>
          </w:p>
        </w:tc>
      </w:tr>
      <w:tr w:rsidR="00852F57" w:rsidRPr="00E106B5" w14:paraId="5032D60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C897C9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A906300" w14:textId="39209B6A" w:rsidR="00852F57" w:rsidRPr="00E106B5" w:rsidRDefault="005A559D" w:rsidP="0036707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559D">
              <w:rPr>
                <w:rFonts w:ascii="Times New Roman" w:hAnsi="Times New Roman"/>
                <w:sz w:val="20"/>
                <w:szCs w:val="20"/>
                <w:lang w:val="sr-Cyrl-CS"/>
              </w:rPr>
              <w:t>У раду ће бити коришћени разноврсни извори: од научних радова (књига, члананка), докумената па све до обраде разних студија слчајева који се користе на разним престижним америчким универзитетима ( David Evance, Wash. Univ. Seatle, Maxwell School, Syracuse Uni.). Биће коришћени и филмова ради продубљенијег разумевања одређених социјалних проблема. Од студената се очекује да активно учествују у предавањима, да уложе индивидуални напор и креативност у примени теоријска знања ради што квалитетније анализе одабране јавне политике (семинарски рад) и конкретног полиси проблема. Доминантан начин рада су предавања, дебате, тестови и семинарски радови.</w:t>
            </w:r>
          </w:p>
        </w:tc>
      </w:tr>
      <w:tr w:rsidR="00852F57" w:rsidRPr="00E106B5" w14:paraId="1004975B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948FC5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52F57" w:rsidRPr="00E106B5" w14:paraId="4F5FACCB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1B2F2F1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14:paraId="7C2D4AB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7097F00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FE0E49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41AE1B7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52F57" w:rsidRPr="00E106B5" w14:paraId="14D1EDFC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2474D36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9" w:type="dxa"/>
            <w:vAlign w:val="center"/>
          </w:tcPr>
          <w:p w14:paraId="30DF8A63" w14:textId="2ACB84D3" w:rsidR="00852F57" w:rsidRPr="00E106B5" w:rsidRDefault="005A559D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</w:t>
            </w:r>
            <w:r w:rsidR="00930F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ACCBBA1" w14:textId="10760C71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 испит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6B46C3C9" w14:textId="38BD73BD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852F57" w:rsidRPr="00E106B5" w14:paraId="12FCDB70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54A388AE" w14:textId="54D75CF1" w:rsidR="00852F57" w:rsidRPr="00A900BA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Резултат истраживачког рада</w:t>
            </w:r>
          </w:p>
        </w:tc>
        <w:tc>
          <w:tcPr>
            <w:tcW w:w="1939" w:type="dxa"/>
            <w:vAlign w:val="center"/>
          </w:tcPr>
          <w:p w14:paraId="20BF5487" w14:textId="02EE69D8" w:rsidR="00852F57" w:rsidRPr="00E106B5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671A864C" w14:textId="3A673C80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707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7F9F07D8" w14:textId="4EB056BF" w:rsidR="00852F57" w:rsidRPr="00930FE4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</w:tr>
      <w:tr w:rsidR="00852F57" w:rsidRPr="00E106B5" w14:paraId="76BDC88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097B15CF" w14:textId="2C71D8BB" w:rsidR="00852F57" w:rsidRPr="00E106B5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 рад- есеј</w:t>
            </w:r>
          </w:p>
        </w:tc>
        <w:tc>
          <w:tcPr>
            <w:tcW w:w="1939" w:type="dxa"/>
            <w:vAlign w:val="center"/>
          </w:tcPr>
          <w:p w14:paraId="52004991" w14:textId="215D369B" w:rsidR="00852F57" w:rsidRPr="00E106B5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70130F5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63FC03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2F57" w:rsidRPr="00E106B5" w14:paraId="0D7809A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69C2FF5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9" w:type="dxa"/>
            <w:vAlign w:val="center"/>
          </w:tcPr>
          <w:p w14:paraId="78CAA935" w14:textId="1004AEB4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11CA591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AC833CD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1171EC3" w14:textId="77777777" w:rsidR="00852F57" w:rsidRPr="00E106B5" w:rsidRDefault="00852F57" w:rsidP="00852F57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5AFAADC9" w14:textId="77777777" w:rsidR="00F516A1" w:rsidRDefault="00F516A1"/>
    <w:sectPr w:rsidR="00F516A1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83CCF"/>
    <w:multiLevelType w:val="hybridMultilevel"/>
    <w:tmpl w:val="1D5CC3F2"/>
    <w:lvl w:ilvl="0" w:tplc="8D28B4A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57"/>
    <w:rsid w:val="00157B56"/>
    <w:rsid w:val="001935D1"/>
    <w:rsid w:val="00367073"/>
    <w:rsid w:val="005A559D"/>
    <w:rsid w:val="00852F57"/>
    <w:rsid w:val="00930FE4"/>
    <w:rsid w:val="009F1975"/>
    <w:rsid w:val="00A900BA"/>
    <w:rsid w:val="00F5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0A1E6"/>
  <w15:chartTrackingRefBased/>
  <w15:docId w15:val="{F836F02F-0E78-4CCD-AD2E-34DB6B10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F5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52F57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5A5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988</Words>
  <Characters>5637</Characters>
  <Application>Microsoft Office Word</Application>
  <DocSecurity>0</DocSecurity>
  <Lines>46</Lines>
  <Paragraphs>13</Paragraphs>
  <ScaleCrop>false</ScaleCrop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Simentić</dc:creator>
  <cp:keywords/>
  <dc:description/>
  <cp:lastModifiedBy>Janja Simentić</cp:lastModifiedBy>
  <cp:revision>3</cp:revision>
  <dcterms:created xsi:type="dcterms:W3CDTF">2021-06-08T20:49:00Z</dcterms:created>
  <dcterms:modified xsi:type="dcterms:W3CDTF">2021-06-09T19:20:00Z</dcterms:modified>
</cp:coreProperties>
</file>